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11" w:rsidRPr="00156760" w:rsidRDefault="001F4A11" w:rsidP="00D44EAC">
      <w:pPr>
        <w:widowControl/>
        <w:outlineLvl w:val="0"/>
        <w:rPr>
          <w:rFonts w:ascii="微軟正黑體" w:eastAsia="微軟正黑體" w:hAnsi="微軟正黑體"/>
          <w:b/>
          <w:sz w:val="32"/>
        </w:rPr>
      </w:pPr>
      <w:r w:rsidRPr="00156760">
        <w:rPr>
          <w:rFonts w:ascii="微軟正黑體" w:eastAsia="微軟正黑體" w:hAnsi="微軟正黑體" w:hint="eastAsia"/>
          <w:b/>
          <w:sz w:val="32"/>
        </w:rPr>
        <w:t>ACI 學術引用文獻資料庫</w:t>
      </w:r>
      <w:r w:rsidR="008F2068" w:rsidRPr="00156760">
        <w:rPr>
          <w:rFonts w:ascii="微軟正黑體" w:eastAsia="微軟正黑體" w:hAnsi="微軟正黑體" w:hint="eastAsia"/>
          <w:b/>
          <w:sz w:val="32"/>
        </w:rPr>
        <w:t>(2.0版)</w:t>
      </w:r>
      <w:r w:rsidRPr="00156760">
        <w:rPr>
          <w:rFonts w:ascii="微軟正黑體" w:eastAsia="微軟正黑體" w:hAnsi="微軟正黑體" w:hint="eastAsia"/>
          <w:b/>
          <w:sz w:val="32"/>
        </w:rPr>
        <w:t xml:space="preserve"> </w:t>
      </w:r>
    </w:p>
    <w:p w:rsidR="00C75309" w:rsidRPr="00156760" w:rsidRDefault="00DE6700" w:rsidP="00172226">
      <w:pPr>
        <w:widowControl/>
        <w:spacing w:line="0" w:lineRule="atLeast"/>
        <w:rPr>
          <w:rFonts w:ascii="微軟正黑體" w:eastAsia="微軟正黑體" w:hAnsi="微軟正黑體"/>
          <w:b/>
          <w:sz w:val="22"/>
        </w:rPr>
      </w:pPr>
      <w:r w:rsidRPr="00156760">
        <w:rPr>
          <w:rFonts w:ascii="微軟正黑體" w:eastAsia="微軟正黑體" w:hAnsi="微軟正黑體" w:hint="eastAsia"/>
          <w:b/>
          <w:sz w:val="22"/>
        </w:rPr>
        <w:t>【簡介】</w:t>
      </w:r>
    </w:p>
    <w:p w:rsidR="000038DB" w:rsidRPr="00156760" w:rsidRDefault="001F4A11" w:rsidP="00172226">
      <w:pPr>
        <w:widowControl/>
        <w:spacing w:line="0" w:lineRule="atLeast"/>
        <w:rPr>
          <w:rFonts w:ascii="微軟正黑體" w:eastAsia="微軟正黑體" w:hAnsi="微軟正黑體"/>
          <w:sz w:val="22"/>
        </w:rPr>
      </w:pPr>
      <w:r w:rsidRPr="00156760">
        <w:rPr>
          <w:rFonts w:ascii="微軟正黑體" w:eastAsia="微軟正黑體" w:hAnsi="微軟正黑體"/>
          <w:sz w:val="22"/>
        </w:rPr>
        <w:t>ACI學術引用文獻資料庫(Academic Citation Index)收錄台灣、港澳最重要的人文社會學術期刊</w:t>
      </w:r>
      <w:r w:rsidR="008F2068" w:rsidRPr="00156760">
        <w:rPr>
          <w:rFonts w:ascii="微軟正黑體" w:eastAsia="微軟正黑體" w:hAnsi="微軟正黑體" w:hint="eastAsia"/>
          <w:sz w:val="22"/>
        </w:rPr>
        <w:t>，</w:t>
      </w:r>
      <w:r w:rsidR="007B41B9" w:rsidRPr="00156760">
        <w:rPr>
          <w:rFonts w:ascii="微軟正黑體" w:eastAsia="微軟正黑體" w:hAnsi="微軟正黑體"/>
          <w:sz w:val="22"/>
        </w:rPr>
        <w:t>完整收錄</w:t>
      </w:r>
      <w:r w:rsidR="009F0467" w:rsidRPr="00156760">
        <w:rPr>
          <w:rFonts w:ascii="微軟正黑體" w:eastAsia="微軟正黑體" w:hAnsi="微軟正黑體" w:hint="eastAsia"/>
          <w:sz w:val="22"/>
        </w:rPr>
        <w:t>近700</w:t>
      </w:r>
      <w:r w:rsidR="007B41B9" w:rsidRPr="00156760">
        <w:rPr>
          <w:rFonts w:ascii="微軟正黑體" w:eastAsia="微軟正黑體" w:hAnsi="微軟正黑體" w:hint="eastAsia"/>
          <w:sz w:val="22"/>
        </w:rPr>
        <w:t>種</w:t>
      </w:r>
      <w:r w:rsidRPr="00156760">
        <w:rPr>
          <w:rFonts w:ascii="微軟正黑體" w:eastAsia="微軟正黑體" w:hAnsi="微軟正黑體"/>
          <w:sz w:val="22"/>
        </w:rPr>
        <w:t>學術期刊</w:t>
      </w:r>
      <w:r w:rsidR="007B41B9" w:rsidRPr="00156760">
        <w:rPr>
          <w:rFonts w:ascii="微軟正黑體" w:eastAsia="微軟正黑體" w:hAnsi="微軟正黑體" w:hint="eastAsia"/>
          <w:sz w:val="22"/>
        </w:rPr>
        <w:t>本身的來源</w:t>
      </w:r>
      <w:r w:rsidR="007B41B9" w:rsidRPr="00156760">
        <w:rPr>
          <w:rFonts w:ascii="微軟正黑體" w:eastAsia="微軟正黑體" w:hAnsi="微軟正黑體"/>
          <w:sz w:val="22"/>
        </w:rPr>
        <w:t>文獻</w:t>
      </w:r>
      <w:r w:rsidR="007B41B9" w:rsidRPr="00156760">
        <w:rPr>
          <w:rFonts w:ascii="微軟正黑體" w:eastAsia="微軟正黑體" w:hAnsi="微軟正黑體" w:hint="eastAsia"/>
          <w:sz w:val="22"/>
        </w:rPr>
        <w:t>及其</w:t>
      </w:r>
      <w:r w:rsidR="008F2068" w:rsidRPr="00156760">
        <w:rPr>
          <w:rFonts w:ascii="微軟正黑體" w:eastAsia="微軟正黑體" w:hAnsi="微軟正黑體"/>
          <w:sz w:val="22"/>
        </w:rPr>
        <w:t>引用文獻</w:t>
      </w:r>
      <w:r w:rsidR="008F2068" w:rsidRPr="00156760">
        <w:rPr>
          <w:rFonts w:ascii="微軟正黑體" w:eastAsia="微軟正黑體" w:hAnsi="微軟正黑體" w:hint="eastAsia"/>
          <w:sz w:val="22"/>
        </w:rPr>
        <w:t>，並</w:t>
      </w:r>
      <w:r w:rsidR="008F2068" w:rsidRPr="00156760">
        <w:rPr>
          <w:rFonts w:ascii="微軟正黑體" w:eastAsia="微軟正黑體" w:hAnsi="微軟正黑體"/>
          <w:sz w:val="22"/>
        </w:rPr>
        <w:t>依其主題區分為</w:t>
      </w:r>
      <w:r w:rsidR="008F2068" w:rsidRPr="00156760">
        <w:rPr>
          <w:rFonts w:ascii="微軟正黑體" w:eastAsia="微軟正黑體" w:hAnsi="微軟正黑體" w:hint="eastAsia"/>
          <w:sz w:val="22"/>
        </w:rPr>
        <w:t>20</w:t>
      </w:r>
      <w:r w:rsidR="008F2068" w:rsidRPr="00156760">
        <w:rPr>
          <w:rFonts w:ascii="微軟正黑體" w:eastAsia="微軟正黑體" w:hAnsi="微軟正黑體"/>
          <w:sz w:val="22"/>
        </w:rPr>
        <w:t>學門，分別為教育、</w:t>
      </w:r>
      <w:proofErr w:type="gramStart"/>
      <w:r w:rsidR="008F2068" w:rsidRPr="00156760">
        <w:rPr>
          <w:rFonts w:ascii="微軟正黑體" w:eastAsia="微軟正黑體" w:hAnsi="微軟正黑體"/>
          <w:sz w:val="22"/>
        </w:rPr>
        <w:t>圖資</w:t>
      </w:r>
      <w:proofErr w:type="gramEnd"/>
      <w:r w:rsidR="008F2068" w:rsidRPr="00156760">
        <w:rPr>
          <w:rFonts w:ascii="微軟正黑體" w:eastAsia="微軟正黑體" w:hAnsi="微軟正黑體"/>
          <w:sz w:val="22"/>
        </w:rPr>
        <w:t>、體育、歷史、社會、經濟、綜合、人類、中文、外文、心理、法律、哲學、政治、區域研究及地理學、管理、語言、藝術、傳播</w:t>
      </w:r>
      <w:r w:rsidR="008F2068" w:rsidRPr="00156760">
        <w:rPr>
          <w:rFonts w:ascii="微軟正黑體" w:eastAsia="微軟正黑體" w:hAnsi="微軟正黑體" w:hint="eastAsia"/>
          <w:sz w:val="22"/>
        </w:rPr>
        <w:t>與中醫</w:t>
      </w:r>
      <w:r w:rsidR="008F2068" w:rsidRPr="00156760">
        <w:rPr>
          <w:rFonts w:ascii="微軟正黑體" w:eastAsia="微軟正黑體" w:hAnsi="微軟正黑體"/>
          <w:sz w:val="22"/>
        </w:rPr>
        <w:t>。</w:t>
      </w:r>
      <w:r w:rsidRPr="00156760">
        <w:rPr>
          <w:rFonts w:ascii="微軟正黑體" w:eastAsia="微軟正黑體" w:hAnsi="微軟正黑體"/>
          <w:sz w:val="22"/>
        </w:rPr>
        <w:t>透過ACI</w:t>
      </w:r>
      <w:r w:rsidR="007B41B9" w:rsidRPr="00156760">
        <w:rPr>
          <w:rFonts w:ascii="微軟正黑體" w:eastAsia="微軟正黑體" w:hAnsi="微軟正黑體" w:hint="eastAsia"/>
          <w:sz w:val="22"/>
        </w:rPr>
        <w:t>提供</w:t>
      </w:r>
      <w:r w:rsidRPr="00156760">
        <w:rPr>
          <w:rFonts w:ascii="微軟正黑體" w:eastAsia="微軟正黑體" w:hAnsi="微軟正黑體"/>
          <w:sz w:val="22"/>
        </w:rPr>
        <w:t>讀者在查找文獻時同時瀏覽參考文獻，利用引用文獻交互連結，輕鬆取得更多相關文獻。</w:t>
      </w:r>
    </w:p>
    <w:p w:rsidR="001302B1" w:rsidRPr="00156760" w:rsidRDefault="001302B1" w:rsidP="00172226">
      <w:pPr>
        <w:widowControl/>
        <w:spacing w:line="0" w:lineRule="atLeast"/>
        <w:rPr>
          <w:rFonts w:ascii="微軟正黑體" w:eastAsia="微軟正黑體" w:hAnsi="微軟正黑體"/>
          <w:sz w:val="22"/>
        </w:rPr>
      </w:pPr>
    </w:p>
    <w:p w:rsidR="00C75309" w:rsidRPr="00156760" w:rsidRDefault="00DE6700" w:rsidP="00172226">
      <w:pPr>
        <w:widowControl/>
        <w:spacing w:line="0" w:lineRule="atLeast"/>
        <w:rPr>
          <w:rFonts w:ascii="微軟正黑體" w:eastAsia="微軟正黑體" w:hAnsi="微軟正黑體"/>
          <w:b/>
          <w:sz w:val="22"/>
        </w:rPr>
      </w:pPr>
      <w:r w:rsidRPr="00156760">
        <w:rPr>
          <w:rFonts w:ascii="微軟正黑體" w:eastAsia="微軟正黑體" w:hAnsi="微軟正黑體" w:hint="eastAsia"/>
          <w:b/>
          <w:sz w:val="22"/>
        </w:rPr>
        <w:t>【收錄範圍】</w:t>
      </w:r>
    </w:p>
    <w:p w:rsidR="000038DB" w:rsidRPr="00156760" w:rsidRDefault="000038DB" w:rsidP="00172226">
      <w:pPr>
        <w:widowControl/>
        <w:spacing w:line="0" w:lineRule="atLeast"/>
        <w:rPr>
          <w:rFonts w:ascii="微軟正黑體" w:eastAsia="微軟正黑體" w:hAnsi="微軟正黑體"/>
          <w:sz w:val="22"/>
        </w:rPr>
      </w:pPr>
      <w:r w:rsidRPr="00156760">
        <w:rPr>
          <w:rFonts w:ascii="微軟正黑體" w:eastAsia="微軟正黑體" w:hAnsi="微軟正黑體" w:hint="eastAsia"/>
          <w:sz w:val="22"/>
        </w:rPr>
        <w:t>ACI</w:t>
      </w:r>
      <w:r w:rsidRPr="00156760">
        <w:rPr>
          <w:rFonts w:ascii="微軟正黑體" w:eastAsia="微軟正黑體" w:hAnsi="微軟正黑體"/>
          <w:sz w:val="22"/>
        </w:rPr>
        <w:t>每期僅有收錄具</w:t>
      </w:r>
      <w:r w:rsidRPr="00156760">
        <w:rPr>
          <w:rFonts w:ascii="微軟正黑體" w:eastAsia="微軟正黑體" w:hAnsi="微軟正黑體" w:hint="eastAsia"/>
          <w:sz w:val="22"/>
        </w:rPr>
        <w:t>有</w:t>
      </w:r>
      <w:r w:rsidRPr="00156760">
        <w:rPr>
          <w:rFonts w:ascii="微軟正黑體" w:eastAsia="微軟正黑體" w:hAnsi="微軟正黑體"/>
          <w:sz w:val="22"/>
        </w:rPr>
        <w:t>原創性之學術內容文獻，資料類型以文章　(Article) 為主，不包括評論資料　(Review)</w:t>
      </w:r>
      <w:r w:rsidRPr="00156760">
        <w:rPr>
          <w:rFonts w:ascii="微軟正黑體" w:eastAsia="微軟正黑體" w:hAnsi="微軟正黑體" w:hint="eastAsia"/>
          <w:sz w:val="22"/>
        </w:rPr>
        <w:t>、</w:t>
      </w:r>
      <w:r w:rsidRPr="00156760">
        <w:rPr>
          <w:rFonts w:ascii="微軟正黑體" w:eastAsia="微軟正黑體" w:hAnsi="微軟正黑體"/>
          <w:sz w:val="22"/>
        </w:rPr>
        <w:t>會議摘要</w:t>
      </w:r>
      <w:r w:rsidRPr="00156760">
        <w:rPr>
          <w:rFonts w:ascii="微軟正黑體" w:eastAsia="微軟正黑體" w:hAnsi="微軟正黑體" w:hint="eastAsia"/>
          <w:sz w:val="22"/>
        </w:rPr>
        <w:t>、</w:t>
      </w:r>
      <w:r w:rsidRPr="00156760">
        <w:rPr>
          <w:rFonts w:ascii="微軟正黑體" w:eastAsia="微軟正黑體" w:hAnsi="微軟正黑體"/>
          <w:sz w:val="22"/>
        </w:rPr>
        <w:t>更正資料</w:t>
      </w:r>
      <w:r w:rsidRPr="00156760">
        <w:rPr>
          <w:rFonts w:ascii="微軟正黑體" w:eastAsia="微軟正黑體" w:hAnsi="微軟正黑體" w:hint="eastAsia"/>
          <w:sz w:val="22"/>
        </w:rPr>
        <w:t>、</w:t>
      </w:r>
      <w:r w:rsidRPr="00156760">
        <w:rPr>
          <w:rFonts w:ascii="微軟正黑體" w:eastAsia="微軟正黑體" w:hAnsi="微軟正黑體"/>
          <w:sz w:val="22"/>
        </w:rPr>
        <w:t>信件與編輯資料。</w:t>
      </w:r>
    </w:p>
    <w:p w:rsidR="001302B1" w:rsidRPr="00156760" w:rsidRDefault="001302B1" w:rsidP="00172226">
      <w:pPr>
        <w:widowControl/>
        <w:spacing w:line="0" w:lineRule="atLeast"/>
        <w:rPr>
          <w:rFonts w:ascii="微軟正黑體" w:eastAsia="微軟正黑體" w:hAnsi="微軟正黑體"/>
          <w:sz w:val="22"/>
        </w:rPr>
      </w:pPr>
    </w:p>
    <w:p w:rsidR="00C75309" w:rsidRPr="00156760" w:rsidRDefault="00DE6700" w:rsidP="00C75309">
      <w:pPr>
        <w:widowControl/>
        <w:spacing w:line="0" w:lineRule="atLeast"/>
        <w:rPr>
          <w:rFonts w:ascii="微軟正黑體" w:eastAsia="微軟正黑體" w:hAnsi="微軟正黑體"/>
          <w:b/>
          <w:sz w:val="22"/>
        </w:rPr>
      </w:pPr>
      <w:r w:rsidRPr="00156760">
        <w:rPr>
          <w:rFonts w:ascii="微軟正黑體" w:eastAsia="微軟正黑體" w:hAnsi="微軟正黑體" w:hint="eastAsia"/>
          <w:b/>
          <w:sz w:val="22"/>
        </w:rPr>
        <w:t>【系統功能</w:t>
      </w:r>
      <w:r w:rsidR="001302B1" w:rsidRPr="00156760">
        <w:rPr>
          <w:rFonts w:ascii="微軟正黑體" w:eastAsia="微軟正黑體" w:hAnsi="微軟正黑體" w:hint="eastAsia"/>
          <w:b/>
          <w:sz w:val="22"/>
        </w:rPr>
        <w:t>與特色</w:t>
      </w:r>
      <w:r w:rsidRPr="00156760">
        <w:rPr>
          <w:rFonts w:ascii="微軟正黑體" w:eastAsia="微軟正黑體" w:hAnsi="微軟正黑體" w:hint="eastAsia"/>
          <w:b/>
          <w:sz w:val="22"/>
        </w:rPr>
        <w:t>】</w:t>
      </w:r>
    </w:p>
    <w:p w:rsidR="00AA3E31" w:rsidRPr="00156760" w:rsidRDefault="001F4A11" w:rsidP="001302B1">
      <w:pPr>
        <w:pStyle w:val="a3"/>
        <w:widowControl/>
        <w:numPr>
          <w:ilvl w:val="0"/>
          <w:numId w:val="25"/>
        </w:numPr>
        <w:spacing w:line="0" w:lineRule="atLeast"/>
        <w:ind w:leftChars="0"/>
        <w:rPr>
          <w:rFonts w:ascii="微軟正黑體" w:eastAsia="微軟正黑體" w:hAnsi="微軟正黑體"/>
          <w:sz w:val="22"/>
        </w:rPr>
      </w:pPr>
      <w:r w:rsidRPr="00156760">
        <w:rPr>
          <w:rFonts w:ascii="微軟正黑體" w:eastAsia="微軟正黑體" w:hAnsi="微軟正黑體"/>
          <w:sz w:val="22"/>
        </w:rPr>
        <w:t>ACI</w:t>
      </w:r>
      <w:r w:rsidRPr="00156760">
        <w:rPr>
          <w:rFonts w:ascii="微軟正黑體" w:eastAsia="微軟正黑體" w:hAnsi="微軟正黑體" w:hint="eastAsia"/>
          <w:sz w:val="22"/>
        </w:rPr>
        <w:t>可讓使用者透過文獻 (來源文獻與</w:t>
      </w:r>
      <w:r w:rsidR="00540006">
        <w:rPr>
          <w:rFonts w:ascii="微軟正黑體" w:eastAsia="微軟正黑體" w:hAnsi="微軟正黑體" w:hint="eastAsia"/>
          <w:sz w:val="22"/>
        </w:rPr>
        <w:t>參考</w:t>
      </w:r>
      <w:r w:rsidR="00540006" w:rsidRPr="00156760">
        <w:rPr>
          <w:rFonts w:ascii="微軟正黑體" w:eastAsia="微軟正黑體" w:hAnsi="微軟正黑體" w:hint="eastAsia"/>
          <w:sz w:val="22"/>
        </w:rPr>
        <w:t>文獻</w:t>
      </w:r>
      <w:r w:rsidRPr="00156760">
        <w:rPr>
          <w:rFonts w:ascii="微軟正黑體" w:eastAsia="微軟正黑體" w:hAnsi="微軟正黑體" w:hint="eastAsia"/>
          <w:sz w:val="22"/>
        </w:rPr>
        <w:t>) 、出版清單、學門與機構進行不同面</w:t>
      </w:r>
      <w:r w:rsidR="00AA3E31" w:rsidRPr="00156760">
        <w:rPr>
          <w:rFonts w:ascii="微軟正黑體" w:eastAsia="微軟正黑體" w:hAnsi="微軟正黑體" w:hint="eastAsia"/>
          <w:sz w:val="22"/>
        </w:rPr>
        <w:t>向</w:t>
      </w:r>
      <w:r w:rsidRPr="00156760">
        <w:rPr>
          <w:rFonts w:ascii="微軟正黑體" w:eastAsia="微軟正黑體" w:hAnsi="微軟正黑體" w:hint="eastAsia"/>
          <w:sz w:val="22"/>
        </w:rPr>
        <w:t>角度的檢索、研究與評量。</w:t>
      </w:r>
      <w:r w:rsidR="00C1678A" w:rsidRPr="00156760">
        <w:rPr>
          <w:rFonts w:ascii="微軟正黑體" w:eastAsia="微軟正黑體" w:hAnsi="微軟正黑體" w:hint="eastAsia"/>
          <w:sz w:val="22"/>
        </w:rPr>
        <w:t>包含文獻計量指標、期刊計量指標、學門計量指標及機構購計量指標。</w:t>
      </w:r>
    </w:p>
    <w:p w:rsidR="001302B1" w:rsidRPr="00156760" w:rsidRDefault="001302B1" w:rsidP="001302B1">
      <w:pPr>
        <w:pStyle w:val="a3"/>
        <w:widowControl/>
        <w:numPr>
          <w:ilvl w:val="0"/>
          <w:numId w:val="25"/>
        </w:numPr>
        <w:spacing w:line="0" w:lineRule="atLeast"/>
        <w:ind w:leftChars="0"/>
        <w:rPr>
          <w:rFonts w:ascii="微軟正黑體" w:eastAsia="微軟正黑體" w:hAnsi="微軟正黑體"/>
          <w:sz w:val="22"/>
        </w:rPr>
      </w:pPr>
      <w:r w:rsidRPr="00156760">
        <w:rPr>
          <w:rFonts w:ascii="微軟正黑體" w:eastAsia="微軟正黑體" w:hAnsi="微軟正黑體" w:hint="eastAsia"/>
          <w:sz w:val="22"/>
        </w:rPr>
        <w:t>與</w:t>
      </w:r>
      <w:proofErr w:type="spellStart"/>
      <w:r w:rsidRPr="00156760">
        <w:rPr>
          <w:rFonts w:ascii="微軟正黑體" w:eastAsia="微軟正黑體" w:hAnsi="微軟正黑體" w:hint="eastAsia"/>
          <w:sz w:val="22"/>
        </w:rPr>
        <w:t>Airitilibrary</w:t>
      </w:r>
      <w:proofErr w:type="spellEnd"/>
      <w:r w:rsidRPr="00156760">
        <w:rPr>
          <w:rFonts w:ascii="微軟正黑體" w:eastAsia="微軟正黑體" w:hAnsi="微軟正黑體" w:hint="eastAsia"/>
          <w:sz w:val="22"/>
        </w:rPr>
        <w:t xml:space="preserve"> 連結全文</w:t>
      </w:r>
      <w:r w:rsidR="007F76A3" w:rsidRPr="00156760">
        <w:rPr>
          <w:rFonts w:ascii="微軟正黑體" w:eastAsia="微軟正黑體" w:hAnsi="微軟正黑體" w:hint="eastAsia"/>
          <w:sz w:val="22"/>
        </w:rPr>
        <w:t>。</w:t>
      </w:r>
    </w:p>
    <w:p w:rsidR="001302B1" w:rsidRPr="00156760" w:rsidRDefault="001302B1" w:rsidP="001302B1">
      <w:pPr>
        <w:pStyle w:val="a3"/>
        <w:widowControl/>
        <w:numPr>
          <w:ilvl w:val="0"/>
          <w:numId w:val="25"/>
        </w:numPr>
        <w:spacing w:line="0" w:lineRule="atLeast"/>
        <w:ind w:leftChars="0"/>
        <w:rPr>
          <w:rFonts w:ascii="微軟正黑體" w:eastAsia="微軟正黑體" w:hAnsi="微軟正黑體"/>
          <w:sz w:val="22"/>
        </w:rPr>
      </w:pPr>
      <w:r w:rsidRPr="00156760">
        <w:rPr>
          <w:rFonts w:ascii="微軟正黑體" w:eastAsia="微軟正黑體" w:hAnsi="微軟正黑體" w:hint="eastAsia"/>
          <w:sz w:val="22"/>
        </w:rPr>
        <w:t>國際化：結合DOI</w:t>
      </w:r>
      <w:r w:rsidR="007F76A3" w:rsidRPr="00156760">
        <w:rPr>
          <w:rFonts w:ascii="微軟正黑體" w:eastAsia="微軟正黑體" w:hAnsi="微軟正黑體" w:hint="eastAsia"/>
          <w:sz w:val="22"/>
        </w:rPr>
        <w:t>、ORCID</w:t>
      </w:r>
      <w:r w:rsidRPr="00156760">
        <w:rPr>
          <w:rFonts w:ascii="微軟正黑體" w:eastAsia="微軟正黑體" w:hAnsi="微軟正黑體" w:hint="eastAsia"/>
          <w:sz w:val="22"/>
        </w:rPr>
        <w:t>提供永久的連結，</w:t>
      </w:r>
      <w:r w:rsidR="007F76A3" w:rsidRPr="00156760">
        <w:rPr>
          <w:rFonts w:ascii="微軟正黑體" w:eastAsia="微軟正黑體" w:hAnsi="微軟正黑體" w:hint="eastAsia"/>
          <w:sz w:val="22"/>
        </w:rPr>
        <w:t>與</w:t>
      </w:r>
      <w:proofErr w:type="spellStart"/>
      <w:r w:rsidR="007F76A3" w:rsidRPr="00156760">
        <w:rPr>
          <w:rFonts w:ascii="微軟正黑體" w:eastAsia="微軟正黑體" w:hAnsi="微軟正黑體" w:hint="eastAsia"/>
          <w:sz w:val="22"/>
        </w:rPr>
        <w:t>PlumX</w:t>
      </w:r>
      <w:proofErr w:type="spellEnd"/>
      <w:r w:rsidR="007F76A3" w:rsidRPr="00156760">
        <w:rPr>
          <w:rFonts w:ascii="微軟正黑體" w:eastAsia="微軟正黑體" w:hAnsi="微軟正黑體" w:hint="eastAsia"/>
          <w:sz w:val="22"/>
        </w:rPr>
        <w:t>合作，提供文獻正式與社群之計量數字。</w:t>
      </w:r>
    </w:p>
    <w:p w:rsidR="007F76A3" w:rsidRPr="00156760" w:rsidRDefault="00D44EAC" w:rsidP="001302B1">
      <w:pPr>
        <w:pStyle w:val="a3"/>
        <w:widowControl/>
        <w:numPr>
          <w:ilvl w:val="0"/>
          <w:numId w:val="25"/>
        </w:numPr>
        <w:spacing w:line="0" w:lineRule="atLeast"/>
        <w:ind w:leftChars="0"/>
        <w:rPr>
          <w:rFonts w:ascii="微軟正黑體" w:eastAsia="微軟正黑體" w:hAnsi="微軟正黑體"/>
          <w:sz w:val="22"/>
        </w:rPr>
      </w:pPr>
      <w:r w:rsidRPr="00156760">
        <w:rPr>
          <w:rFonts w:ascii="微軟正黑體" w:eastAsia="微軟正黑體" w:hAnsi="微軟正黑體" w:hint="eastAsia"/>
          <w:sz w:val="22"/>
        </w:rPr>
        <w:t>提供</w:t>
      </w:r>
      <w:r w:rsidR="007F76A3" w:rsidRPr="00156760">
        <w:rPr>
          <w:rFonts w:ascii="微軟正黑體" w:eastAsia="微軟正黑體" w:hAnsi="微軟正黑體" w:hint="eastAsia"/>
          <w:sz w:val="22"/>
        </w:rPr>
        <w:t>量化與質化之指標，供期刊單位發展策略之參考。</w:t>
      </w:r>
    </w:p>
    <w:p w:rsidR="00665473" w:rsidRPr="00156760" w:rsidRDefault="00A6684A" w:rsidP="007B70E0">
      <w:pPr>
        <w:pStyle w:val="a3"/>
        <w:widowControl/>
        <w:numPr>
          <w:ilvl w:val="0"/>
          <w:numId w:val="25"/>
        </w:numPr>
        <w:spacing w:line="0" w:lineRule="atLeast"/>
        <w:ind w:leftChars="0"/>
        <w:rPr>
          <w:rFonts w:ascii="微軟正黑體" w:eastAsia="微軟正黑體" w:hAnsi="微軟正黑體"/>
          <w:sz w:val="22"/>
        </w:rPr>
      </w:pPr>
      <w:r w:rsidRPr="00156760">
        <w:rPr>
          <w:rFonts w:ascii="微軟正黑體" w:eastAsia="微軟正黑體" w:hAnsi="微軟正黑體" w:hint="eastAsia"/>
          <w:sz w:val="22"/>
        </w:rPr>
        <w:t>機構服務：對國內外重要機構進行權威控制，機構生產力與影響力</w:t>
      </w:r>
      <w:proofErr w:type="gramStart"/>
      <w:r w:rsidRPr="00156760">
        <w:rPr>
          <w:rFonts w:ascii="微軟正黑體" w:eastAsia="微軟正黑體" w:hAnsi="微軟正黑體" w:hint="eastAsia"/>
          <w:sz w:val="22"/>
        </w:rPr>
        <w:t>不</w:t>
      </w:r>
      <w:proofErr w:type="gramEnd"/>
      <w:r w:rsidRPr="00156760">
        <w:rPr>
          <w:rFonts w:ascii="微軟正黑體" w:eastAsia="微軟正黑體" w:hAnsi="微軟正黑體" w:hint="eastAsia"/>
          <w:sz w:val="22"/>
        </w:rPr>
        <w:t>錯失；協助機構探詢潛在合作團隊、建立合作；可從學門領域獲知機構各學門高被引清單</w:t>
      </w:r>
      <w:r w:rsidR="008869C2" w:rsidRPr="00156760">
        <w:rPr>
          <w:rFonts w:ascii="微軟正黑體" w:eastAsia="微軟正黑體" w:hAnsi="微軟正黑體" w:hint="eastAsia"/>
          <w:sz w:val="22"/>
        </w:rPr>
        <w:t>。</w:t>
      </w:r>
    </w:p>
    <w:p w:rsidR="00D44EAC" w:rsidRPr="00156760" w:rsidRDefault="00D44EAC" w:rsidP="00D44EAC">
      <w:pPr>
        <w:pStyle w:val="a3"/>
        <w:widowControl/>
        <w:spacing w:line="0" w:lineRule="atLeast"/>
        <w:ind w:leftChars="0"/>
        <w:rPr>
          <w:rFonts w:ascii="微軟正黑體" w:eastAsia="微軟正黑體" w:hAnsi="微軟正黑體"/>
          <w:sz w:val="22"/>
        </w:rPr>
      </w:pPr>
    </w:p>
    <w:p w:rsidR="00172226" w:rsidRPr="00156760" w:rsidRDefault="00C75309" w:rsidP="00AA3E31">
      <w:pPr>
        <w:widowControl/>
        <w:spacing w:line="0" w:lineRule="atLeast"/>
        <w:rPr>
          <w:rFonts w:ascii="微軟正黑體" w:eastAsia="微軟正黑體" w:hAnsi="微軟正黑體"/>
          <w:sz w:val="22"/>
        </w:rPr>
      </w:pPr>
      <w:r w:rsidRPr="00156760">
        <w:rPr>
          <w:rFonts w:ascii="微軟正黑體" w:eastAsia="微軟正黑體" w:hAnsi="微軟正黑體" w:hint="eastAsia"/>
          <w:b/>
          <w:sz w:val="22"/>
        </w:rPr>
        <w:t>【品質】</w:t>
      </w:r>
    </w:p>
    <w:p w:rsidR="0053534A" w:rsidRPr="00156760" w:rsidRDefault="008F2068" w:rsidP="008F2068">
      <w:pPr>
        <w:pStyle w:val="a3"/>
        <w:numPr>
          <w:ilvl w:val="0"/>
          <w:numId w:val="23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156760">
        <w:rPr>
          <w:rFonts w:ascii="微軟正黑體" w:eastAsia="微軟正黑體" w:hAnsi="微軟正黑體" w:hint="eastAsia"/>
          <w:szCs w:val="24"/>
        </w:rPr>
        <w:t>ACI依據書目計量學中的三大定律之布萊德福法則，</w:t>
      </w:r>
      <w:r w:rsidR="0053534A" w:rsidRPr="00156760">
        <w:rPr>
          <w:rFonts w:ascii="微軟正黑體" w:eastAsia="微軟正黑體" w:hAnsi="微軟正黑體" w:hint="eastAsia"/>
          <w:szCs w:val="24"/>
        </w:rPr>
        <w:t>選刊嚴謹，符合近三年每年出</w:t>
      </w:r>
      <w:proofErr w:type="gramStart"/>
      <w:r w:rsidR="0053534A" w:rsidRPr="00156760">
        <w:rPr>
          <w:rFonts w:ascii="微軟正黑體" w:eastAsia="微軟正黑體" w:hAnsi="微軟正黑體" w:hint="eastAsia"/>
          <w:szCs w:val="24"/>
        </w:rPr>
        <w:t>滿應出期</w:t>
      </w:r>
      <w:proofErr w:type="gramEnd"/>
      <w:r w:rsidR="0053534A" w:rsidRPr="00156760">
        <w:rPr>
          <w:rFonts w:ascii="微軟正黑體" w:eastAsia="微軟正黑體" w:hAnsi="微軟正黑體" w:hint="eastAsia"/>
          <w:szCs w:val="24"/>
        </w:rPr>
        <w:t>數且「具審查制度」、「定期出刊」、「每期至少刊載3篇以上」之期刊，或國內外重要資料庫收錄之期刊或具有公信力之優良</w:t>
      </w:r>
      <w:proofErr w:type="gramStart"/>
      <w:r w:rsidR="0053534A" w:rsidRPr="00156760">
        <w:rPr>
          <w:rFonts w:ascii="微軟正黑體" w:eastAsia="微軟正黑體" w:hAnsi="微軟正黑體" w:hint="eastAsia"/>
          <w:szCs w:val="24"/>
        </w:rPr>
        <w:t>期刊所條列</w:t>
      </w:r>
      <w:proofErr w:type="gramEnd"/>
      <w:r w:rsidR="0053534A" w:rsidRPr="00156760">
        <w:rPr>
          <w:rFonts w:ascii="微軟正黑體" w:eastAsia="微軟正黑體" w:hAnsi="微軟正黑體" w:hint="eastAsia"/>
          <w:szCs w:val="24"/>
        </w:rPr>
        <w:t>。文獻內容需體例完整：題名、摘要、關鍵字、參考文獻、ISSN、作者名、作者服務機構。</w:t>
      </w:r>
    </w:p>
    <w:p w:rsidR="00184865" w:rsidRPr="00156760" w:rsidRDefault="00184865" w:rsidP="0053534A">
      <w:pPr>
        <w:pStyle w:val="a3"/>
        <w:numPr>
          <w:ilvl w:val="0"/>
          <w:numId w:val="23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156760">
        <w:rPr>
          <w:rFonts w:ascii="微軟正黑體" w:eastAsia="微軟正黑體" w:hAnsi="微軟正黑體" w:hint="eastAsia"/>
          <w:szCs w:val="24"/>
        </w:rPr>
        <w:t>完整建置每本期刊每一期引文，且保有期刊的沿革(不會分不同期刊收錄)，</w:t>
      </w:r>
      <w:proofErr w:type="gramStart"/>
      <w:r w:rsidRPr="00156760">
        <w:rPr>
          <w:rFonts w:ascii="微軟正黑體" w:eastAsia="微軟正黑體" w:hAnsi="微軟正黑體" w:hint="eastAsia"/>
          <w:szCs w:val="24"/>
        </w:rPr>
        <w:t>即使刊</w:t>
      </w:r>
      <w:proofErr w:type="gramEnd"/>
      <w:r w:rsidRPr="00156760">
        <w:rPr>
          <w:rFonts w:ascii="微軟正黑體" w:eastAsia="微軟正黑體" w:hAnsi="微軟正黑體" w:hint="eastAsia"/>
          <w:szCs w:val="24"/>
        </w:rPr>
        <w:t>名變更，其被引用及計量仍延續計入在新刊名</w:t>
      </w:r>
      <w:r w:rsidR="008869C2" w:rsidRPr="00156760">
        <w:rPr>
          <w:rFonts w:ascii="微軟正黑體" w:eastAsia="微軟正黑體" w:hAnsi="微軟正黑體" w:hint="eastAsia"/>
          <w:sz w:val="22"/>
        </w:rPr>
        <w:t>。</w:t>
      </w:r>
    </w:p>
    <w:p w:rsidR="0053534A" w:rsidRPr="00156760" w:rsidRDefault="00D44EAC" w:rsidP="0053534A">
      <w:pPr>
        <w:pStyle w:val="a3"/>
        <w:numPr>
          <w:ilvl w:val="0"/>
          <w:numId w:val="23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156760">
        <w:rPr>
          <w:rFonts w:ascii="微軟正黑體" w:eastAsia="微軟正黑體" w:hAnsi="微軟正黑體" w:hint="eastAsia"/>
          <w:szCs w:val="24"/>
        </w:rPr>
        <w:t>文獻加值：</w:t>
      </w:r>
      <w:r w:rsidR="00B65666">
        <w:rPr>
          <w:rFonts w:ascii="微軟正黑體" w:eastAsia="微軟正黑體" w:hAnsi="微軟正黑體" w:hint="eastAsia"/>
          <w:szCs w:val="24"/>
        </w:rPr>
        <w:t>透過</w:t>
      </w:r>
      <w:bookmarkStart w:id="0" w:name="_GoBack"/>
      <w:bookmarkEnd w:id="0"/>
      <w:r w:rsidR="0053534A" w:rsidRPr="00156760">
        <w:rPr>
          <w:rFonts w:ascii="微軟正黑體" w:eastAsia="微軟正黑體" w:hAnsi="微軟正黑體" w:hint="eastAsia"/>
          <w:szCs w:val="24"/>
        </w:rPr>
        <w:t>來源文獻</w:t>
      </w:r>
      <w:r w:rsidRPr="00156760">
        <w:rPr>
          <w:rFonts w:ascii="微軟正黑體" w:eastAsia="微軟正黑體" w:hAnsi="微軟正黑體" w:hint="eastAsia"/>
          <w:szCs w:val="24"/>
        </w:rPr>
        <w:t>與引用文獻的</w:t>
      </w:r>
      <w:r w:rsidR="0053534A" w:rsidRPr="00156760">
        <w:rPr>
          <w:rFonts w:ascii="微軟正黑體" w:eastAsia="微軟正黑體" w:hAnsi="微軟正黑體" w:hint="eastAsia"/>
          <w:szCs w:val="24"/>
        </w:rPr>
        <w:t>D</w:t>
      </w:r>
      <w:r w:rsidRPr="00156760">
        <w:rPr>
          <w:rFonts w:ascii="微軟正黑體" w:eastAsia="微軟正黑體" w:hAnsi="微軟正黑體" w:hint="eastAsia"/>
          <w:szCs w:val="24"/>
        </w:rPr>
        <w:t>O</w:t>
      </w:r>
      <w:r w:rsidR="0053534A" w:rsidRPr="00156760">
        <w:rPr>
          <w:rFonts w:ascii="微軟正黑體" w:eastAsia="微軟正黑體" w:hAnsi="微軟正黑體" w:hint="eastAsia"/>
          <w:szCs w:val="24"/>
        </w:rPr>
        <w:t>I</w:t>
      </w:r>
      <w:r w:rsidRPr="00156760">
        <w:rPr>
          <w:rFonts w:ascii="微軟正黑體" w:eastAsia="微軟正黑體" w:hAnsi="微軟正黑體" w:hint="eastAsia"/>
          <w:szCs w:val="24"/>
        </w:rPr>
        <w:t>，進行來源文獻機構的權威控制。</w:t>
      </w:r>
    </w:p>
    <w:p w:rsidR="0053534A" w:rsidRPr="00156760" w:rsidRDefault="0053534A" w:rsidP="0053534A">
      <w:pPr>
        <w:pStyle w:val="a3"/>
        <w:numPr>
          <w:ilvl w:val="0"/>
          <w:numId w:val="23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156760">
        <w:rPr>
          <w:rFonts w:ascii="微軟正黑體" w:eastAsia="微軟正黑體" w:hAnsi="微軟正黑體" w:hint="eastAsia"/>
          <w:szCs w:val="24"/>
        </w:rPr>
        <w:t>權威控制</w:t>
      </w:r>
      <w:r w:rsidR="00D44EAC" w:rsidRPr="00156760">
        <w:rPr>
          <w:rFonts w:ascii="微軟正黑體" w:eastAsia="微軟正黑體" w:hAnsi="微軟正黑體" w:hint="eastAsia"/>
          <w:szCs w:val="24"/>
        </w:rPr>
        <w:t>：歷年學門核心指標</w:t>
      </w:r>
      <w:r w:rsidRPr="00156760">
        <w:rPr>
          <w:rFonts w:ascii="微軟正黑體" w:eastAsia="微軟正黑體" w:hAnsi="微軟正黑體" w:hint="eastAsia"/>
          <w:szCs w:val="24"/>
        </w:rPr>
        <w:t>清單、</w:t>
      </w:r>
      <w:proofErr w:type="gramStart"/>
      <w:r w:rsidRPr="00156760">
        <w:rPr>
          <w:rFonts w:ascii="微軟正黑體" w:eastAsia="微軟正黑體" w:hAnsi="微軟正黑體" w:hint="eastAsia"/>
          <w:szCs w:val="24"/>
        </w:rPr>
        <w:t>期刊權控</w:t>
      </w:r>
      <w:proofErr w:type="gramEnd"/>
      <w:r w:rsidRPr="00156760">
        <w:rPr>
          <w:rFonts w:ascii="微軟正黑體" w:eastAsia="微軟正黑體" w:hAnsi="微軟正黑體" w:hint="eastAsia"/>
          <w:szCs w:val="24"/>
        </w:rPr>
        <w:t>、</w:t>
      </w:r>
      <w:proofErr w:type="gramStart"/>
      <w:r w:rsidRPr="00156760">
        <w:rPr>
          <w:rFonts w:ascii="微軟正黑體" w:eastAsia="微軟正黑體" w:hAnsi="微軟正黑體" w:hint="eastAsia"/>
          <w:szCs w:val="24"/>
        </w:rPr>
        <w:t>機構權控</w:t>
      </w:r>
      <w:proofErr w:type="gramEnd"/>
      <w:r w:rsidRPr="00156760">
        <w:rPr>
          <w:rFonts w:ascii="微軟正黑體" w:eastAsia="微軟正黑體" w:hAnsi="微軟正黑體" w:hint="eastAsia"/>
          <w:szCs w:val="24"/>
        </w:rPr>
        <w:t>、</w:t>
      </w:r>
      <w:proofErr w:type="gramStart"/>
      <w:r w:rsidRPr="00156760">
        <w:rPr>
          <w:rFonts w:ascii="微軟正黑體" w:eastAsia="微軟正黑體" w:hAnsi="微軟正黑體" w:hint="eastAsia"/>
          <w:szCs w:val="24"/>
        </w:rPr>
        <w:t>學者權控</w:t>
      </w:r>
      <w:proofErr w:type="gramEnd"/>
      <w:r w:rsidRPr="00156760">
        <w:rPr>
          <w:rFonts w:ascii="微軟正黑體" w:eastAsia="微軟正黑體" w:hAnsi="微軟正黑體" w:hint="eastAsia"/>
          <w:szCs w:val="24"/>
        </w:rPr>
        <w:t>。</w:t>
      </w:r>
    </w:p>
    <w:p w:rsidR="00D621EA" w:rsidRPr="00156760" w:rsidRDefault="00133416" w:rsidP="00FD5109">
      <w:pPr>
        <w:pStyle w:val="a3"/>
        <w:widowControl/>
        <w:numPr>
          <w:ilvl w:val="0"/>
          <w:numId w:val="23"/>
        </w:numPr>
        <w:snapToGrid w:val="0"/>
        <w:spacing w:line="12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Cs w:val="24"/>
        </w:rPr>
        <w:t>參考</w:t>
      </w:r>
      <w:r w:rsidR="00D44EAC" w:rsidRPr="00156760">
        <w:rPr>
          <w:rFonts w:ascii="微軟正黑體" w:eastAsia="微軟正黑體" w:hAnsi="微軟正黑體" w:hint="eastAsia"/>
          <w:szCs w:val="24"/>
        </w:rPr>
        <w:t>文獻去重：</w:t>
      </w:r>
      <w:r w:rsidR="00184865" w:rsidRPr="00156760">
        <w:rPr>
          <w:rFonts w:ascii="微軟正黑體" w:eastAsia="微軟正黑體" w:hAnsi="微軟正黑體" w:hint="eastAsia"/>
          <w:szCs w:val="24"/>
        </w:rPr>
        <w:t>經過</w:t>
      </w:r>
      <w:r w:rsidR="00D44EAC" w:rsidRPr="00156760">
        <w:rPr>
          <w:rFonts w:ascii="微軟正黑體" w:eastAsia="微軟正黑體" w:hAnsi="微軟正黑體" w:hint="eastAsia"/>
          <w:szCs w:val="24"/>
        </w:rPr>
        <w:t>DOI比對進行參考文獻重複性查核與加值</w:t>
      </w:r>
      <w:r w:rsidR="00665473" w:rsidRPr="00156760">
        <w:rPr>
          <w:rFonts w:ascii="微軟正黑體" w:eastAsia="微軟正黑體" w:hAnsi="微軟正黑體" w:hint="eastAsia"/>
          <w:szCs w:val="24"/>
        </w:rPr>
        <w:t>，提高</w:t>
      </w:r>
      <w:r w:rsidR="00184865" w:rsidRPr="00156760">
        <w:rPr>
          <w:rFonts w:ascii="微軟正黑體" w:eastAsia="微軟正黑體" w:hAnsi="微軟正黑體" w:hint="eastAsia"/>
          <w:szCs w:val="24"/>
        </w:rPr>
        <w:t>了</w:t>
      </w:r>
      <w:r w:rsidR="001302B1" w:rsidRPr="00156760">
        <w:rPr>
          <w:rFonts w:ascii="微軟正黑體" w:eastAsia="微軟正黑體" w:hAnsi="微軟正黑體" w:hint="eastAsia"/>
          <w:szCs w:val="24"/>
        </w:rPr>
        <w:t>參考文獻的</w:t>
      </w:r>
      <w:r w:rsidR="00665473" w:rsidRPr="00156760">
        <w:rPr>
          <w:rFonts w:ascii="微軟正黑體" w:eastAsia="微軟正黑體" w:hAnsi="微軟正黑體" w:hint="eastAsia"/>
          <w:szCs w:val="24"/>
        </w:rPr>
        <w:t>可參考價值</w:t>
      </w:r>
      <w:r w:rsidR="00184865" w:rsidRPr="00156760">
        <w:rPr>
          <w:rFonts w:ascii="微軟正黑體" w:eastAsia="微軟正黑體" w:hAnsi="微軟正黑體" w:hint="eastAsia"/>
          <w:szCs w:val="24"/>
        </w:rPr>
        <w:t>，更可提供機構</w:t>
      </w:r>
      <w:r w:rsidR="00D44EAC" w:rsidRPr="00156760">
        <w:rPr>
          <w:rFonts w:ascii="微軟正黑體" w:eastAsia="微軟正黑體" w:hAnsi="微軟正黑體" w:hint="eastAsia"/>
          <w:szCs w:val="24"/>
        </w:rPr>
        <w:t>透過引文分析報表產出館藏評鑑清單</w:t>
      </w:r>
      <w:r w:rsidR="00184865" w:rsidRPr="00156760">
        <w:rPr>
          <w:rFonts w:ascii="微軟正黑體" w:eastAsia="微軟正黑體" w:hAnsi="微軟正黑體" w:hint="eastAsia"/>
          <w:szCs w:val="24"/>
        </w:rPr>
        <w:t>，</w:t>
      </w:r>
      <w:r w:rsidR="001302B1" w:rsidRPr="00156760">
        <w:rPr>
          <w:rFonts w:ascii="微軟正黑體" w:eastAsia="微軟正黑體" w:hAnsi="微軟正黑體" w:hint="eastAsia"/>
          <w:szCs w:val="24"/>
        </w:rPr>
        <w:t>讓資源有效分配</w:t>
      </w:r>
      <w:r w:rsidR="00184865" w:rsidRPr="00156760">
        <w:rPr>
          <w:rFonts w:ascii="微軟正黑體" w:eastAsia="微軟正黑體" w:hAnsi="微軟正黑體" w:hint="eastAsia"/>
          <w:szCs w:val="24"/>
        </w:rPr>
        <w:t>。</w:t>
      </w:r>
    </w:p>
    <w:p w:rsidR="001A4B12" w:rsidRPr="00D621EA" w:rsidRDefault="008F2068" w:rsidP="00884ECD">
      <w:pPr>
        <w:snapToGrid w:val="0"/>
        <w:spacing w:line="120" w:lineRule="atLeast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4295140</wp:posOffset>
                </wp:positionV>
                <wp:extent cx="1447165" cy="1518920"/>
                <wp:effectExtent l="0" t="0" r="0" b="0"/>
                <wp:wrapNone/>
                <wp:docPr id="224" name="文字方塊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165" cy="151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21E0" w:rsidRPr="005231CB" w:rsidRDefault="00D00FDD" w:rsidP="009A21E0">
                            <w:pPr>
                              <w:adjustRightInd w:val="0"/>
                              <w:snapToGrid w:val="0"/>
                              <w:spacing w:line="120" w:lineRule="atLeas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9A21E0" w:rsidRPr="005231C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合作分析</w:t>
                            </w:r>
                          </w:p>
                          <w:p w:rsidR="009A21E0" w:rsidRPr="005231CB" w:rsidRDefault="00884ECD" w:rsidP="009A21E0">
                            <w:pPr>
                              <w:adjustRightInd w:val="0"/>
                              <w:snapToGrid w:val="0"/>
                              <w:spacing w:line="120" w:lineRule="atLeas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可從文獻合作網絡探詢機構潛在合作團隊。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4" o:spid="_x0000_s1026" type="#_x0000_t202" style="position:absolute;left:0;text-align:left;margin-left:200.9pt;margin-top:338.2pt;width:113.95pt;height:119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" filled="f" stroked="f" strokeweight=".5pt">
                <v:path arrowok="t"/>
                <v:textbox>
                  <w:txbxContent>
                    <w:p w:rsidR="009A21E0" w:rsidRPr="005231CB" w:rsidRDefault="00D00FDD" w:rsidP="009A21E0">
                      <w:pPr>
                        <w:adjustRightInd w:val="0"/>
                        <w:snapToGrid w:val="0"/>
                        <w:spacing w:line="120" w:lineRule="atLeas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 xml:space="preserve">. </w:t>
                      </w:r>
                      <w:r w:rsidR="009A21E0" w:rsidRPr="005231C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合作分析</w:t>
                      </w:r>
                    </w:p>
                    <w:p w:rsidR="009A21E0" w:rsidRPr="005231CB" w:rsidRDefault="00884ECD" w:rsidP="009A21E0">
                      <w:pPr>
                        <w:adjustRightInd w:val="0"/>
                        <w:snapToGrid w:val="0"/>
                        <w:spacing w:line="120" w:lineRule="atLeas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可從文獻合作網絡探詢機構潛在合作團隊。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4294505</wp:posOffset>
                </wp:positionV>
                <wp:extent cx="1709420" cy="1613535"/>
                <wp:effectExtent l="0" t="0" r="0" b="0"/>
                <wp:wrapNone/>
                <wp:docPr id="222" name="文字方塊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9420" cy="161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21E0" w:rsidRPr="00D00FDD" w:rsidRDefault="009A21E0" w:rsidP="00D00FDD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120" w:lineRule="atLeast"/>
                              <w:ind w:leftChars="0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 w:rsidRPr="00D00FD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總體指標</w:t>
                            </w:r>
                          </w:p>
                          <w:p w:rsidR="009A21E0" w:rsidRPr="005231CB" w:rsidRDefault="00884ECD" w:rsidP="009A21E0">
                            <w:pPr>
                              <w:adjustRightInd w:val="0"/>
                              <w:snapToGrid w:val="0"/>
                              <w:spacing w:line="120" w:lineRule="atLeas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針對國內外重要機構進行權威控制並產出機構指標，機構學術生產力與影響力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錯失。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2" o:spid="_x0000_s1027" type="#_x0000_t202" style="position:absolute;left:0;text-align:left;margin-left:47.35pt;margin-top:338.15pt;width:134.6pt;height:127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" filled="f" stroked="f" strokeweight=".5pt">
                <v:path arrowok="t"/>
                <v:textbox>
                  <w:txbxContent>
                    <w:p w:rsidR="009A21E0" w:rsidRPr="00D00FDD" w:rsidRDefault="009A21E0" w:rsidP="00D00FDD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120" w:lineRule="atLeast"/>
                        <w:ind w:leftChars="0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 w:rsidRPr="00D00FD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總體指標</w:t>
                      </w:r>
                    </w:p>
                    <w:p w:rsidR="009A21E0" w:rsidRPr="005231CB" w:rsidRDefault="00884ECD" w:rsidP="009A21E0">
                      <w:pPr>
                        <w:adjustRightInd w:val="0"/>
                        <w:snapToGrid w:val="0"/>
                        <w:spacing w:line="120" w:lineRule="atLeas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針對國內外重要機構進行權威控制並產出機構指標，機構學術生產力與影響力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不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錯失。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4279900</wp:posOffset>
                </wp:positionV>
                <wp:extent cx="1446530" cy="1367155"/>
                <wp:effectExtent l="0" t="0" r="0" b="0"/>
                <wp:wrapNone/>
                <wp:docPr id="226" name="文字方塊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6530" cy="136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21E0" w:rsidRPr="005231CB" w:rsidRDefault="00D00FDD" w:rsidP="009A21E0">
                            <w:pPr>
                              <w:adjustRightInd w:val="0"/>
                              <w:snapToGrid w:val="0"/>
                              <w:spacing w:line="120" w:lineRule="atLeas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9A21E0" w:rsidRPr="005231C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</w:rPr>
                              <w:t>期刊產出</w:t>
                            </w:r>
                          </w:p>
                          <w:p w:rsidR="009A21E0" w:rsidRPr="005231CB" w:rsidRDefault="009A21E0" w:rsidP="009A21E0">
                            <w:pPr>
                              <w:adjustRightInd w:val="0"/>
                              <w:snapToGrid w:val="0"/>
                              <w:spacing w:line="120" w:lineRule="atLeas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231C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機構出版且</w:t>
                            </w:r>
                            <w:r w:rsidR="00884EC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被</w:t>
                            </w:r>
                            <w:r w:rsidRPr="005231C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ACI 收錄的期刊</w:t>
                            </w:r>
                            <w:r w:rsidR="00884EC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，量化機構學術出版傳播力。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6" o:spid="_x0000_s1028" type="#_x0000_t202" style="position:absolute;left:0;text-align:left;margin-left:347.85pt;margin-top:337pt;width:113.9pt;height:107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" filled="f" stroked="f" strokeweight=".5pt">
                <v:path arrowok="t"/>
                <v:textbox>
                  <w:txbxContent>
                    <w:p w:rsidR="009A21E0" w:rsidRPr="005231CB" w:rsidRDefault="00D00FDD" w:rsidP="009A21E0">
                      <w:pPr>
                        <w:adjustRightInd w:val="0"/>
                        <w:snapToGrid w:val="0"/>
                        <w:spacing w:line="120" w:lineRule="atLeas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</w:rPr>
                        <w:t xml:space="preserve">. </w:t>
                      </w:r>
                      <w:r w:rsidR="009A21E0" w:rsidRPr="005231C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  <w:t>期刊產出</w:t>
                      </w:r>
                    </w:p>
                    <w:p w:rsidR="009A21E0" w:rsidRPr="005231CB" w:rsidRDefault="009A21E0" w:rsidP="009A21E0">
                      <w:pPr>
                        <w:adjustRightInd w:val="0"/>
                        <w:snapToGrid w:val="0"/>
                        <w:spacing w:line="120" w:lineRule="atLeas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5231C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機構出版且</w:t>
                      </w:r>
                      <w:r w:rsidR="00884ECD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被</w:t>
                      </w:r>
                      <w:r w:rsidRPr="005231C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ACI 收錄的期刊</w:t>
                      </w:r>
                      <w:r w:rsidR="00884ECD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，量化機構學術出版傳播力。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4B12" w:rsidRPr="00D621EA" w:rsidSect="008F2068">
      <w:headerReference w:type="default" r:id="rId8"/>
      <w:pgSz w:w="11906" w:h="16838"/>
      <w:pgMar w:top="1021" w:right="1021" w:bottom="99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2B" w:rsidRDefault="00966A2B" w:rsidP="001F4A11">
      <w:r>
        <w:separator/>
      </w:r>
    </w:p>
  </w:endnote>
  <w:endnote w:type="continuationSeparator" w:id="0">
    <w:p w:rsidR="00966A2B" w:rsidRDefault="00966A2B" w:rsidP="001F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2B" w:rsidRDefault="00966A2B" w:rsidP="001F4A11">
      <w:r>
        <w:separator/>
      </w:r>
    </w:p>
  </w:footnote>
  <w:footnote w:type="continuationSeparator" w:id="0">
    <w:p w:rsidR="00966A2B" w:rsidRDefault="00966A2B" w:rsidP="001F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11" w:rsidRPr="003056A2" w:rsidRDefault="003056A2" w:rsidP="001F4A11">
    <w:pPr>
      <w:pStyle w:val="a7"/>
      <w:wordWrap w:val="0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noProof/>
      </w:rPr>
      <w:drawing>
        <wp:inline distT="0" distB="0" distL="0" distR="0">
          <wp:extent cx="304800" cy="314325"/>
          <wp:effectExtent l="19050" t="0" r="0" b="0"/>
          <wp:docPr id="2068" name="圖片 2067" descr="a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4A11" w:rsidRPr="003056A2">
      <w:rPr>
        <w:rFonts w:ascii="微軟正黑體" w:eastAsia="微軟正黑體" w:hAnsi="微軟正黑體" w:hint="eastAsia"/>
      </w:rPr>
      <w:t xml:space="preserve">ACI </w:t>
    </w:r>
    <w:r w:rsidR="008869C2">
      <w:rPr>
        <w:rFonts w:ascii="微軟正黑體" w:eastAsia="微軟正黑體" w:hAnsi="微軟正黑體" w:hint="eastAsia"/>
      </w:rPr>
      <w:t>學術引用文獻資料庫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972"/>
    <w:multiLevelType w:val="hybridMultilevel"/>
    <w:tmpl w:val="5F468432"/>
    <w:lvl w:ilvl="0" w:tplc="9760D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34B9C"/>
    <w:multiLevelType w:val="hybridMultilevel"/>
    <w:tmpl w:val="EBE40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27FA5"/>
    <w:multiLevelType w:val="hybridMultilevel"/>
    <w:tmpl w:val="44FA90D4"/>
    <w:lvl w:ilvl="0" w:tplc="9760D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642431"/>
    <w:multiLevelType w:val="hybridMultilevel"/>
    <w:tmpl w:val="30EA0882"/>
    <w:lvl w:ilvl="0" w:tplc="19EE32A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C24CAE"/>
    <w:multiLevelType w:val="hybridMultilevel"/>
    <w:tmpl w:val="C2420C12"/>
    <w:lvl w:ilvl="0" w:tplc="C114D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3D7743"/>
    <w:multiLevelType w:val="hybridMultilevel"/>
    <w:tmpl w:val="4D368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3C15F5"/>
    <w:multiLevelType w:val="hybridMultilevel"/>
    <w:tmpl w:val="8C4E133C"/>
    <w:lvl w:ilvl="0" w:tplc="8D9AF5B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335AB1"/>
    <w:multiLevelType w:val="hybridMultilevel"/>
    <w:tmpl w:val="C2420C12"/>
    <w:lvl w:ilvl="0" w:tplc="C114D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685CC9"/>
    <w:multiLevelType w:val="hybridMultilevel"/>
    <w:tmpl w:val="415CDE9A"/>
    <w:lvl w:ilvl="0" w:tplc="CB503770"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5D93940"/>
    <w:multiLevelType w:val="hybridMultilevel"/>
    <w:tmpl w:val="597C5B00"/>
    <w:lvl w:ilvl="0" w:tplc="5DE6B8E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E83673"/>
    <w:multiLevelType w:val="hybridMultilevel"/>
    <w:tmpl w:val="316665F6"/>
    <w:lvl w:ilvl="0" w:tplc="CB503770">
      <w:numFmt w:val="bullet"/>
      <w:lvlText w:val="-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C9F011B"/>
    <w:multiLevelType w:val="hybridMultilevel"/>
    <w:tmpl w:val="8612E936"/>
    <w:lvl w:ilvl="0" w:tplc="C2EEB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0E116E"/>
    <w:multiLevelType w:val="hybridMultilevel"/>
    <w:tmpl w:val="91A2984C"/>
    <w:lvl w:ilvl="0" w:tplc="28A81D1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A00C5F"/>
    <w:multiLevelType w:val="hybridMultilevel"/>
    <w:tmpl w:val="330CD030"/>
    <w:lvl w:ilvl="0" w:tplc="8D9AF5B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0542368"/>
    <w:multiLevelType w:val="hybridMultilevel"/>
    <w:tmpl w:val="C2420C12"/>
    <w:lvl w:ilvl="0" w:tplc="C114D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4C3575"/>
    <w:multiLevelType w:val="hybridMultilevel"/>
    <w:tmpl w:val="FBC41666"/>
    <w:lvl w:ilvl="0" w:tplc="DB5AA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954460"/>
    <w:multiLevelType w:val="hybridMultilevel"/>
    <w:tmpl w:val="BB869518"/>
    <w:lvl w:ilvl="0" w:tplc="9E324D7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B41AA0"/>
    <w:multiLevelType w:val="hybridMultilevel"/>
    <w:tmpl w:val="B5867A18"/>
    <w:lvl w:ilvl="0" w:tplc="3AA4348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7A5E9A"/>
    <w:multiLevelType w:val="hybridMultilevel"/>
    <w:tmpl w:val="B6346096"/>
    <w:lvl w:ilvl="0" w:tplc="475AD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810C33"/>
    <w:multiLevelType w:val="hybridMultilevel"/>
    <w:tmpl w:val="50CABFC6"/>
    <w:lvl w:ilvl="0" w:tplc="B3F2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E8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2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84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A8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85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B02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E5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E7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252A3B"/>
    <w:multiLevelType w:val="hybridMultilevel"/>
    <w:tmpl w:val="25720B94"/>
    <w:lvl w:ilvl="0" w:tplc="CF3225E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8458D0"/>
    <w:multiLevelType w:val="hybridMultilevel"/>
    <w:tmpl w:val="E92489B2"/>
    <w:lvl w:ilvl="0" w:tplc="19EE32A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B1C436C"/>
    <w:multiLevelType w:val="hybridMultilevel"/>
    <w:tmpl w:val="C5B69186"/>
    <w:lvl w:ilvl="0" w:tplc="19EE32A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BAE25DE"/>
    <w:multiLevelType w:val="hybridMultilevel"/>
    <w:tmpl w:val="4E08199A"/>
    <w:lvl w:ilvl="0" w:tplc="2D4C0F1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554ECC"/>
    <w:multiLevelType w:val="hybridMultilevel"/>
    <w:tmpl w:val="4CBAD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8"/>
  </w:num>
  <w:num w:numId="5">
    <w:abstractNumId w:val="16"/>
  </w:num>
  <w:num w:numId="6">
    <w:abstractNumId w:val="23"/>
  </w:num>
  <w:num w:numId="7">
    <w:abstractNumId w:val="17"/>
  </w:num>
  <w:num w:numId="8">
    <w:abstractNumId w:val="9"/>
  </w:num>
  <w:num w:numId="9">
    <w:abstractNumId w:val="12"/>
  </w:num>
  <w:num w:numId="10">
    <w:abstractNumId w:val="18"/>
  </w:num>
  <w:num w:numId="11">
    <w:abstractNumId w:val="0"/>
  </w:num>
  <w:num w:numId="12">
    <w:abstractNumId w:val="2"/>
  </w:num>
  <w:num w:numId="13">
    <w:abstractNumId w:val="20"/>
  </w:num>
  <w:num w:numId="14">
    <w:abstractNumId w:val="21"/>
  </w:num>
  <w:num w:numId="15">
    <w:abstractNumId w:val="11"/>
  </w:num>
  <w:num w:numId="16">
    <w:abstractNumId w:val="15"/>
  </w:num>
  <w:num w:numId="17">
    <w:abstractNumId w:val="13"/>
  </w:num>
  <w:num w:numId="18">
    <w:abstractNumId w:val="6"/>
  </w:num>
  <w:num w:numId="19">
    <w:abstractNumId w:val="14"/>
  </w:num>
  <w:num w:numId="20">
    <w:abstractNumId w:val="4"/>
  </w:num>
  <w:num w:numId="21">
    <w:abstractNumId w:val="7"/>
  </w:num>
  <w:num w:numId="22">
    <w:abstractNumId w:val="19"/>
  </w:num>
  <w:num w:numId="23">
    <w:abstractNumId w:val="5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1"/>
    <w:rsid w:val="000038DB"/>
    <w:rsid w:val="00016177"/>
    <w:rsid w:val="00023594"/>
    <w:rsid w:val="00041168"/>
    <w:rsid w:val="00056C7A"/>
    <w:rsid w:val="00096A54"/>
    <w:rsid w:val="000C7A69"/>
    <w:rsid w:val="000D28A0"/>
    <w:rsid w:val="000D571E"/>
    <w:rsid w:val="00121371"/>
    <w:rsid w:val="001302B1"/>
    <w:rsid w:val="00133416"/>
    <w:rsid w:val="0014427D"/>
    <w:rsid w:val="00156760"/>
    <w:rsid w:val="00172226"/>
    <w:rsid w:val="00184865"/>
    <w:rsid w:val="00187C69"/>
    <w:rsid w:val="00197FD5"/>
    <w:rsid w:val="001A4B12"/>
    <w:rsid w:val="001B1588"/>
    <w:rsid w:val="001B1F9E"/>
    <w:rsid w:val="001F4A11"/>
    <w:rsid w:val="001F5601"/>
    <w:rsid w:val="0022513D"/>
    <w:rsid w:val="0023681B"/>
    <w:rsid w:val="002869A8"/>
    <w:rsid w:val="002929C5"/>
    <w:rsid w:val="002A256C"/>
    <w:rsid w:val="00302AD8"/>
    <w:rsid w:val="003056A2"/>
    <w:rsid w:val="003128C5"/>
    <w:rsid w:val="00340FF3"/>
    <w:rsid w:val="003436C6"/>
    <w:rsid w:val="003B301F"/>
    <w:rsid w:val="003D3C02"/>
    <w:rsid w:val="003F707A"/>
    <w:rsid w:val="00401D4B"/>
    <w:rsid w:val="0040401B"/>
    <w:rsid w:val="00420D1F"/>
    <w:rsid w:val="00425929"/>
    <w:rsid w:val="00455052"/>
    <w:rsid w:val="00463432"/>
    <w:rsid w:val="00473F3B"/>
    <w:rsid w:val="00476B55"/>
    <w:rsid w:val="004940A4"/>
    <w:rsid w:val="004A5548"/>
    <w:rsid w:val="004E792A"/>
    <w:rsid w:val="004F0248"/>
    <w:rsid w:val="004F0D11"/>
    <w:rsid w:val="004F7996"/>
    <w:rsid w:val="00521BE0"/>
    <w:rsid w:val="005231CB"/>
    <w:rsid w:val="0053534A"/>
    <w:rsid w:val="00540006"/>
    <w:rsid w:val="0054084D"/>
    <w:rsid w:val="00541207"/>
    <w:rsid w:val="00575AD5"/>
    <w:rsid w:val="005B747C"/>
    <w:rsid w:val="005C596D"/>
    <w:rsid w:val="00600C46"/>
    <w:rsid w:val="00615241"/>
    <w:rsid w:val="00626CE4"/>
    <w:rsid w:val="00665473"/>
    <w:rsid w:val="00672FB7"/>
    <w:rsid w:val="006B0F14"/>
    <w:rsid w:val="006D265E"/>
    <w:rsid w:val="006E31FF"/>
    <w:rsid w:val="006F58CF"/>
    <w:rsid w:val="00705EF0"/>
    <w:rsid w:val="007356A0"/>
    <w:rsid w:val="00751E30"/>
    <w:rsid w:val="007B41B9"/>
    <w:rsid w:val="007C1C3F"/>
    <w:rsid w:val="007D1228"/>
    <w:rsid w:val="007F0B8B"/>
    <w:rsid w:val="007F4FA0"/>
    <w:rsid w:val="007F76A3"/>
    <w:rsid w:val="00801F81"/>
    <w:rsid w:val="00865B28"/>
    <w:rsid w:val="00867193"/>
    <w:rsid w:val="008674A2"/>
    <w:rsid w:val="00881706"/>
    <w:rsid w:val="00884ECD"/>
    <w:rsid w:val="008869C2"/>
    <w:rsid w:val="00890126"/>
    <w:rsid w:val="00896C4D"/>
    <w:rsid w:val="008A16AE"/>
    <w:rsid w:val="008E4D33"/>
    <w:rsid w:val="008F2068"/>
    <w:rsid w:val="008F27D1"/>
    <w:rsid w:val="0091575E"/>
    <w:rsid w:val="00927021"/>
    <w:rsid w:val="00942D63"/>
    <w:rsid w:val="00943932"/>
    <w:rsid w:val="00964C9F"/>
    <w:rsid w:val="00966A2B"/>
    <w:rsid w:val="009A21E0"/>
    <w:rsid w:val="009D2B33"/>
    <w:rsid w:val="009F0467"/>
    <w:rsid w:val="00A12200"/>
    <w:rsid w:val="00A31872"/>
    <w:rsid w:val="00A4646F"/>
    <w:rsid w:val="00A50EB2"/>
    <w:rsid w:val="00A6684A"/>
    <w:rsid w:val="00A80040"/>
    <w:rsid w:val="00A97735"/>
    <w:rsid w:val="00AA3E31"/>
    <w:rsid w:val="00AC2E18"/>
    <w:rsid w:val="00AC4B06"/>
    <w:rsid w:val="00AD55A3"/>
    <w:rsid w:val="00AE35C0"/>
    <w:rsid w:val="00B65666"/>
    <w:rsid w:val="00B65AB8"/>
    <w:rsid w:val="00B662B3"/>
    <w:rsid w:val="00BE692E"/>
    <w:rsid w:val="00BF3B79"/>
    <w:rsid w:val="00C1678A"/>
    <w:rsid w:val="00C27F83"/>
    <w:rsid w:val="00C62CFD"/>
    <w:rsid w:val="00C67100"/>
    <w:rsid w:val="00C75309"/>
    <w:rsid w:val="00C75F93"/>
    <w:rsid w:val="00CA1BE8"/>
    <w:rsid w:val="00CA7FC2"/>
    <w:rsid w:val="00CB5B33"/>
    <w:rsid w:val="00CB6C24"/>
    <w:rsid w:val="00CE2482"/>
    <w:rsid w:val="00CF1F62"/>
    <w:rsid w:val="00CF6F70"/>
    <w:rsid w:val="00D00FDD"/>
    <w:rsid w:val="00D11D05"/>
    <w:rsid w:val="00D434C5"/>
    <w:rsid w:val="00D44EAC"/>
    <w:rsid w:val="00D462C0"/>
    <w:rsid w:val="00D621EA"/>
    <w:rsid w:val="00D9514E"/>
    <w:rsid w:val="00DA73EA"/>
    <w:rsid w:val="00DE6700"/>
    <w:rsid w:val="00E240D2"/>
    <w:rsid w:val="00E25ADE"/>
    <w:rsid w:val="00E413C0"/>
    <w:rsid w:val="00E6556F"/>
    <w:rsid w:val="00E96814"/>
    <w:rsid w:val="00EB6A8B"/>
    <w:rsid w:val="00EC301B"/>
    <w:rsid w:val="00EF2111"/>
    <w:rsid w:val="00F31452"/>
    <w:rsid w:val="00F5511C"/>
    <w:rsid w:val="00F87970"/>
    <w:rsid w:val="00FE133A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B5F5F"/>
  <w15:docId w15:val="{4909E5E7-8BF4-4923-95F0-0E5602A5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52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15241"/>
    <w:pPr>
      <w:ind w:leftChars="200" w:left="480"/>
    </w:pPr>
  </w:style>
  <w:style w:type="table" w:styleId="a4">
    <w:name w:val="Table Grid"/>
    <w:basedOn w:val="a1"/>
    <w:uiPriority w:val="39"/>
    <w:rsid w:val="000C7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39"/>
    <w:rsid w:val="005B7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4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4A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F4A1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F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F4A11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B41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41B9"/>
  </w:style>
  <w:style w:type="character" w:customStyle="1" w:styleId="ad">
    <w:name w:val="註解文字 字元"/>
    <w:basedOn w:val="a0"/>
    <w:link w:val="ac"/>
    <w:uiPriority w:val="99"/>
    <w:semiHidden/>
    <w:rsid w:val="007B41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B41B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B41B9"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rsid w:val="00D44EAC"/>
    <w:rPr>
      <w:rFonts w:ascii="新細明體" w:eastAsia="新細明體"/>
      <w:sz w:val="18"/>
      <w:szCs w:val="18"/>
    </w:rPr>
  </w:style>
  <w:style w:type="character" w:customStyle="1" w:styleId="af1">
    <w:name w:val="文件引導模式 字元"/>
    <w:basedOn w:val="a0"/>
    <w:link w:val="af0"/>
    <w:uiPriority w:val="99"/>
    <w:semiHidden/>
    <w:rsid w:val="00D44EAC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237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2406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382E1-B697-40B0-85A2-61DDAE16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804</Characters>
  <Application>Microsoft Office Word</Application>
  <DocSecurity>0</DocSecurity>
  <Lines>6</Lines>
  <Paragraphs>1</Paragraphs>
  <ScaleCrop>false</ScaleCrop>
  <Company>HP Inc.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A00984</dc:creator>
  <cp:lastModifiedBy>A00723</cp:lastModifiedBy>
  <cp:revision>3</cp:revision>
  <cp:lastPrinted>2019-06-17T07:20:00Z</cp:lastPrinted>
  <dcterms:created xsi:type="dcterms:W3CDTF">2019-07-05T03:07:00Z</dcterms:created>
  <dcterms:modified xsi:type="dcterms:W3CDTF">2019-07-05T03:27:00Z</dcterms:modified>
</cp:coreProperties>
</file>